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17 186 vom 14. März 2019</w:t>
      </w:r>
    </w:p>
    <w:p>
      <w:r>
        <w:t>VS Kantonsgericht, 2019-03-14, FR</w:t>
      </w:r>
    </w:p>
    <w:p>
      <w:r>
        <w:rPr>
          <w:b/>
        </w:rPr>
        <w:t xml:space="preserve">Quelle: </w:t>
      </w:r>
      <w:r>
        <w:t>https://mcp.opencaselaw.ch/entscheid/vs_gerichte_C1 17 186</w:t>
      </w:r>
    </w:p>
    <w:p>
      <w:r>
        <w:t>FR: VS_GERICHTE C1 17 186 du 14 mars 2019</w:t>
      </w:r>
    </w:p>
    <w:p>
      <w:r>
        <w:t>IT: VS_GERICHTE C1 17 186 del 14 marzo 2019</w:t>
      </w:r>
    </w:p>
    <w:p>
      <w:pPr>
        <w:pStyle w:val="Heading2"/>
      </w:pPr>
      <w:r>
        <w:t>Regeste</w:t>
      </w:r>
    </w:p>
    <w:p>
      <w:r>
        <w:t>C1 17 186 JUGEMENT DU 14 MARS 2019 Le juge I du district de Sion M. François Vouilloz, juge ; Mme Emmanuelle Felley, greffière, en la cause X _________, demandeur, représenté par Maître M _________ contre Y _________, défendeur, et Z _________, défendeur, tous deux représentés par Maître N _________ (modification de la contribution d’entretien ; enfants mineurs nés hors mariage)</w:t>
      </w:r>
    </w:p>
    <w:p>
      <w:pPr>
        <w:pStyle w:val="Heading2"/>
      </w:pPr>
      <w:r>
        <w:t>Erwägungen</w:t>
      </w:r>
    </w:p>
    <w:p>
      <w:r>
        <w:rPr>
          <w:b/>
        </w:rPr>
        <w:t>E. 4.1</w:t>
      </w:r>
    </w:p>
    <w:p>
      <w:r>
        <w:t>Toute autorité judiciaire doit examiner d'office sa compétence en raison de la matière (art. 4 ss CPC) et du lieu (art. 9 ss CPC). Sont réservés les traités internationaux et la loi fédérale du 18 décembre 1987 sur le droit international privé (art. 2 CPC).</w:t>
      </w:r>
    </w:p>
    <w:p>
      <w:r>
        <w:t>En vertu de l'art. 79 LDIP; les tribunaux suisses de la résidence habituelle de l’enfant ou ceux du domicile et, à défaut de domicile, ceux de la résidence habituelle du parent défendeur, sont compétents pour connaître d’une action relative aux relations entre parents et enfants, notamment d’une action relative à l’entretien de l’enfant. Les tribunaux suisses désignés aux art. 79 et 80 sont aussi compétents pour connaître des demandes en prestations alimentaires émanant des autorités qui ont fourni des avances (art. 81 let. a LDIP).</w:t>
      </w:r>
    </w:p>
    <w:p>
      <w:r>
        <w:t>A teneur de l'art. 83 al. 1 LDIP, l'obligation alimentaire entre parents et enfant est régie par la Convention de la Haye du 2 octobre 1973 sur la loi applicable aux obligations alimentaires (CLOA, RS 0.211.213.01), laquelle a été ratifiée par la Suisse et la France, et entrée en vigueur pour ces deux États le 1er octobre 1977. Conformément à l'art. 10 CLOA, la loi applicable à l'obligation alimentaire détermine notamment si, dans quelle mesure et à qui le créancier peut réclamer des aliments (ch. 1), qui est admis à intenter l'action alimentaire et quels sont les délais pour l'intenter (ch. 2) et les limites de l'obligation du débiteur, lorsque l'institution publique qui a fourni des aliments au créancier demande le remboursement de sa prestation (ch. 3). L'art. 4 al. 1 CLOA désigne la loi interne de la résidence habituelle du créancier d'aliments comme droit applicable.</w:t>
      </w:r>
    </w:p>
    <w:p>
      <w:r>
        <w:t>L’action indépendante en entretien de l’enfant contre ses père et mère est une action civile patrimoniale, de nature pécuniaire et condamnatoire (art. 84 CPC). La procédure simplifiée (art. 243 ss CPC) s’applique. Le tribunal doit établir les faits d’office (art. 296 al.1 CPC ; maxime inquisitoire) et n’est pas lié par les conclusions des parties (maxime d’office, art. 58 al. 2 , 296 al. 5 CPC).</w:t>
      </w:r>
    </w:p>
    <w:p>
      <w:r>
        <w:t>- 21 - La procédure au fond est précédée d’une tentative de conciliation devant une autorité de conciliation (art. 197 CPC). La valeur litigieuse de l’action indépendante en entretien de l’enfant contre ses père et mère se calcule conformément à l’art. 92 CPC, puisqu’il s’agit de prestations périodiques. En cas d’échec de la conciliation (art. 209 CPC), le demandeur doit déposer sa demande dans les trois mois dès réception de l’autorisation de procéder (art. 209 al. 2 CPC).</w:t>
      </w:r>
    </w:p>
    <w:p>
      <w:r>
        <w:t>Seul l’enfant a qualité pour agir (art. 279 al. 1 CC). L’enfant mineur est dépourvu de la capacité d’ester en justice et doit donc être représenté en procédure par son représentant légal (art. 304 CC, art. 67 al. 2 CPC, ATF 129 III 55 consid. 3.1.2). La collectivité publique a qualité pour agir lorsque c’est elle qui assume tout ou partie de l’entretien, conformément au principe de la subrogation légale dont elle bénéficie (art. 289 al. 2 CC ; BURGAT/CHRISTIANAT/GUILLOD, N. 55 et les réf.). Le parent à qui la contribution d’entretien est réclamée a qualité pour défendre (art. 279 al. 1 CC).</w:t>
      </w:r>
    </w:p>
    <w:p>
      <w:r>
        <w:rPr>
          <w:b/>
        </w:rPr>
        <w:t>E. 4.2</w:t>
      </w:r>
    </w:p>
    <w:p>
      <w:r>
        <w:t>En l’espèce, les parties sont toutes deux de nationalité étrangère, mais sont domiciliées en Suisse. Le demandeur, actuellement à AA _________, était domicilié à A _________, dans le district de A _________, au moment où la litispendance a été établie. La demande a été précédée d’une tentative de conciliation devant le Vice-Juge de la commune de A _________. Partant, la compétence du tribunal de céans est donnée ratione loci et ratione materiae. Le droit suisse s’applique. La procédure simplifiée s’applique.</w:t>
      </w:r>
    </w:p>
    <w:p>
      <w:r>
        <w:rPr>
          <w:b/>
        </w:rPr>
        <w:t>E. 5.1</w:t>
      </w:r>
    </w:p>
    <w:p>
      <w:r>
        <w:t>Selon l’art. 286 al. 1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Le nouveau droit de l’entretien de l’enfant (entré en vigueur le 1er janvier 2017) comprend deux dispositions transitoires. Lorsque l’enfant était déjà au bénéfice d’une contribution d’entretien le 1er janvier 2017, cette dernière ne peut être modifiée que si la situation</w:t>
      </w:r>
    </w:p>
    <w:p>
      <w:r>
        <w:t>- 22 - change notablement. L’entrée en vigueur du nouveau droit ne constitue pas une modification notable de la situation des parties, mais il faut procéder à une pesée des intérêts respectifs de l’enfant et de chacun de ses parents. Le nouveau droit s’applique aux procédures d’entretien pendantes au 1er janvier 2017, peu importe que le nouveau droit s’applique selon l’art. 13c ou 13cbis Tit. fin. CC (arrêt 5A_35/2018 consid. 4.3.).</w:t>
      </w:r>
    </w:p>
    <w:p>
      <w:r>
        <w:t>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5A_373/2015 du 2 juin 2016 consid. 4.3.1; 5A_842/2015 du 26 mai 2016 consid. 2.4.1 ; arrêt 5A_677/2016 du 16 février 2017 consid. 2.1.1). On présume néanmoins que la contribution d'entretien a été fixée en tenant compte des modifications prévisibles, soit celles qui, bien que futures, sont déjà certaines ou fort probables (ATF 138 III 289 p. 292 ; ATF 131 IIII 189 consid. 2.7.4; arrêts 5A_93/2011 du 13 septembre 2011 consid. 6.1; 5A_845/2010 du 12 avril 2011 consid. 4.1). Le moment déterminant pour apprécier si un fait nouveau s'est produit est la date du dépôt de la demande de modification (ATF 137 III 604 consid. 4.1.1; 131 III 189 consid. 2.7.4; 120 II 177 consid. 3a, 285 consid. 4b ; arrêt 5A_634/2013 du 12 mars 2014, consid. 3.1.1.).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(plusieurs arrêts, notamment arrêt 5A_99/2011 du 26 septembre 2011, consid. 4.1). Pour que le juge puisse procéder à cette actualisation, il n'est pas nécessaire que la modification survenue dans ces autres</w:t>
      </w:r>
    </w:p>
    <w:p>
      <w:r>
        <w:t>- 23 - éléments constitue également un fait nouveau (cf. ATF 138 III 289 consid. 11.1.1 et les références ; arrêt 5A_634/2013 du 12 mars 2014, consid. 3.1.1.).</w:t>
      </w:r>
    </w:p>
    <w:p>
      <w:r>
        <w:rPr>
          <w:b/>
        </w:rPr>
        <w:t>E. 5.2</w:t>
      </w:r>
    </w:p>
    <w:p>
      <w:r>
        <w:t>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La prise en compte d'un revenu hypothétique ne revêt pas un caractère pénal; il s'agit bien plutôt d'inciter le débiteur à réaliser le revenu qu'il est en mesure de se procurer et dont on peut raisonnablement exiger de lui qu'il l'obtienne afin de remplir ses obligations. La première de ces conditions relève du fait et la seconde du droit (ATF 137 III 102 consid. 4.2.2.2; 136 III 10 consid. 2b; 128 III 4 consid. 4a et les arrêts cités ; arrêt 5A_677/2016 du 16 février 2017 consid. 2.1.2).</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en particulier lorsque les conditions économiques sont modestes (ATF 137 III 118 consid. 3.1; arrêts 5A_372/2016 du 18 novembre 2016 consid. 3.1; 5A_874/2014 du 8 mai 2015 consid. 6.2.1 et la référence).</w:t>
      </w:r>
    </w:p>
    <w:p>
      <w:r>
        <w:t>Les chances d’une personne sur le marché du travail ne peuvent pas être déterminées uniquement selon l’expérience générale de la vie. Lorsque les aptitudes individuelles ouvrent un large champ d’activités rémunératrices et que l’intégration dans la vie professionnelle n’est, en apparence, gênée par aucun trait de caractère personnel, le tribunal peut toutefois se baser sur des principes fondés sur l’expérience (arrêt 5A_129/2015 du 22 juin 2016 consid. 5.1.2 et 5.4.2).</w:t>
      </w:r>
    </w:p>
    <w:p>
      <w:r>
        <w:t>- 24 -</w:t>
      </w:r>
    </w:p>
    <w:p>
      <w:r>
        <w:t>Lorsque le tribunal retient un revenu hypothétique après un examen détaillé et que le débiteur d’entretien ne trouve pas d’emploi lui assurant une rémunération correspondante, ce dernier peut obtenir une adaptation du montant de la contribution par le biais d’une action en modification du jugement de divorce s’il prouve qu’il a entrepris de sérieux efforts de recherche et s’il indique, au moyen de l’expérience ainsi acquise, pourquoi les attentes du tribunal ne peuvent pas être réalisées. Cette situation correspond en effet à un changement notable et durable de circonstances au sens de l’art. 129 al. 1 CC (arrêt 5A_129/2015 du 22 juin 2016 consid. 5.4.2 ; arrêt 5A_928/2016 du 22 juin 2017 consid. 3.3).</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arrêts 5A_760/2012 du 27 février 2013 consid. 6, publié in: FamPra.ch 2013 p. 480; 5A_732/2012 du 4 décembre 2012 consid. 3.2; 5A_290/2010 du 28 octobre 2010 consid. 9.1, publié in: SJ 2011 I p. 177 ; arrêt 5A_651/2014 du 27 janvier 2015 consid. 4.1.2).</w:t>
      </w:r>
    </w:p>
    <w:p>
      <w:r>
        <w:rPr>
          <w:b/>
        </w:rPr>
        <w:t>E. 5.3</w:t>
      </w:r>
    </w:p>
    <w:p>
      <w:r>
        <w:t>S’agissant de la procédure applicable aux enfants dans les affaires de droit de la famille, le tribunal établit les faits d'office (maxime inquisitoire) (art. 296 al. 1 CPC). La maxime inquisitoire au sens strict et la maxime d'office s'appliquent à toutes les procédures applicables aux enfants dans les affaires du droit de la famille. Le CPC reprend les règles posées notamment aux art. 133 et 145 aCC (qui ont été abrogés), ainsi que la jurisprudence constante du Tribunal fédéral (ATF 128 III 412 s. consid. 3,</w:t>
      </w:r>
    </w:p>
    <w:p>
      <w:r>
        <w:t>- 25 - JdT 2003 I 66 ; STAEHELIN/STAEHELIN/GROLIMUND, § 21, n. 84 ; SUTTER-SOMM, n. 837, 857 ss ; FRANÇOIS VOUILLOZ, Z.Z.Z. 2008/09, p. 516). Avec la maxime d'office, le tribunal n'est pas lié par les conclusions des parties. Avec la maxime inquisitoire au sens strict, le tribunal peut ordonner toute enquête nécessaire ou utile en vue de l'établissement des faits déterminants (Erforschung, investigation, et pas seulement Feststellung, constatation). Cette maxime inquisitoire va plus loin que la maxime inquisitoire atténuée de l'art. 247 CPC. En outre, cette maxime inquisitoire au sens strict déroge au principe du numerus clausus des moyens de preuve (art. 168 al. 2 CPC). Le libre choix de la preuve s'impose au tribunal. A cet égard, le non-paiement de l'avance des frais d'administration des preuves ne dispense pas le tribunal de procéder à l'établissement des faits.</w:t>
      </w:r>
    </w:p>
    <w:p>
      <w:r>
        <w:t>La maxime inquisitoire ne dispense pas les parties d'une collaboration active à la procédure, ni d'étayer leurs propres thèses; il leur incombe de renseigner le tribunal sur les faits de la cause et de lui indiquer les moyens de preuve disponible. La maxime inquisitoire déroge par ailleurs également à la maxime éventuelle. Des faits et des moyens de preuve nouveaux, qu'ils s'agissent de vrais ou de faux novas, doivent être pris en considération jusqu'aux délibérations de jugement. La maxime inquisitoire s'applique également à l'établissement de faits de nature procédurale, en vue, par exemple, de la décision de faire représenter un enfant (art. 299 CPC). En particulier, la maxime inquisitoire et la maxime d'office portent notamment sur: – l'établissement des faits, qui s'effectue indépendamment des allégations des parties ; – l'appréciation des preuves, qui est libre ; – les conclusions des parties, qui ne lient pas le tribunal. Dans ce cadre, les parents ne peuvent notamment pas passer de convention au sujet du sort des enfants, mais seulement présenter au tribunal des conclusions communes sur lesquelles celui-ci statuera. Les conclusions relatives au sort des enfants concernent : l'autorité parentale et la garde des enfants, les relations personnelles du parent non gardien avec les enfants, les contributions d'entretien des enfants dues par le parent non gardien. La maxime inquisitoire et la maxime d'office ne changent rien à la répartition du fardeau de la preuve entre les parties (FRANÇOIS VOUILLOZ, Les procédure du droit de la famille, in Jusletter 11 octobre 2010, Rz 135 s. et les références).</w:t>
      </w:r>
    </w:p>
    <w:p>
      <w:r>
        <w:t>- 26 -</w:t>
      </w:r>
    </w:p>
    <w:p>
      <w:r>
        <w:rPr>
          <w:b/>
        </w:rPr>
        <w:t>E. 6.1</w:t>
      </w:r>
    </w:p>
    <w:p>
      <w:r>
        <w:t>Dans ses dernières conclusions, le demandeur maintient les conclusions de sa demande du 11 octobre 2017, sous réserve de la modification du 14 décembre 2017, et conclut à ce que le chiffre 1 du jugement prononcé le 3 octobre 2013 par le Tribunal du district de B _________ soit modifié et qu’il soit condamné à verser à son enfant Y _________ une contribution d’entretien de 50 fr. avec effet dès le 1er octobre 2017 et à son enfant Z _________ une contribution d’entretien de 50 fr. avec effet dès le 1er octobre 2017. A l’appui de sa demande, il allègue que sa situation personnelle a changé de manière fondamentale et durable depuis le prononcé de la décision, notamment en raison d’une baisse substantielle de ses revenus et de la péjoration de son état de santé.</w:t>
      </w:r>
    </w:p>
    <w:p>
      <w:r>
        <w:t>Dans leurs dernières conclusions, les défendeurs concluent au rejet de la demande, sous suite de frais et dépens.</w:t>
      </w:r>
    </w:p>
    <w:p>
      <w:r>
        <w:rPr>
          <w:b/>
        </w:rPr>
        <w:t>E. 6.2</w:t>
      </w:r>
    </w:p>
    <w:p>
      <w:r>
        <w:t>La prétention à la contribution d’entretien passe avec tous les droits qui lui sont rattachés à la collectivité publique lorsque celle-ci assume l’entretien de l’enfant (art. 289 al. 2 CC). Le droit public cantonal règle le versement d’avances pour l’entretien de l’enfant (art. 293 al. 2 CC). L’art. 289 al. 2 CC crée un cas de cession légale (subrogation). Les créances ainsi cédées et le litige qui s’y rapporte ont une nature de droit privé. La cession légale porte également sur les créances d’entretien futures dont il est certain qu’elles devront être avancées (arrêts 5A_399/2016 et 5A_400/2016 (d), 06 mars 2017 consid. 6.3.1-6.3.2 ; arrêt 5A_634/2013 du 12 mars 2014, consid. 4.1).</w:t>
      </w:r>
    </w:p>
    <w:p>
      <w:r>
        <w:t>Lorsque le débiteur veut faire réduire l’étendue de son devoir d’entretien, il doit actionner la collectivité publique subrogée. Lorsque la collectivité publique n’est que partiellement subrogée dans les droits de l’enfant, la collectivité publique et l’enfant (ou son représentant) ont tous deux la légitimation passive (arrêt 5A_634/2013 du 12 mars 2014 ; consid. 6.3.2).</w:t>
      </w:r>
    </w:p>
    <w:p>
      <w:r>
        <w:t>Avec la cession légale, les droits accessoires cessibles de la créance d’entretien périodique passent au cessionnaire, notamment le droit de demander l’avis aux</w:t>
      </w:r>
    </w:p>
    <w:p>
      <w:r>
        <w:t>- 27 - débiteurs, certains privilèges du droit des poursuites et le droit d’exiger des sûretés. En cas d’action en modification visant à réduire l’entretien, la légitimation passive procure également à la collectivité publique des droits procéduraux à travers lesquels la collectivité publique peut influer sur le rapport d’obligation durable entre le débiteur et le créancier d’entretien. Ainsi, l’enfant conserve la légitimation passive à côté de la collectivité publique même si celle-ci est, d’un point de vue temporel et quantitatif, entièrement subrogée dans le droit à l’entretien (arrêt 5A_634/2013 du 12 mars 2014, consid. 6.3.3). Si la collectivité publique n'est que partiellement subrogée dans les droits de l'enfant (cf. CYRIL HEGNAUER, Commentaire bernois, n. 83 ad art. 286 CC), l'enfant conserve la qualité pour agir, mais il est opportun de coordonner la conduite du procès par les parties et celle effectuée par le juge, de même que d'assurer une représentation commune de l'enfant et de la collectivié publique (HEGNAUER, op. cit., n. 92 ad art. 289 CC). L'action en modification du jugement de divorce du parent débirentier est dirigée contre l'enfant (ou son représentant) et contre la collectivité publique lorsque celle-ci est subrogée dans la prétention de l'enfant à une contribution d'entretien (HEGNAUER, op. cit., n. 63 et 64 ad art. 286 CC) (arrêt 5A_634/2013 du 12 mars 2014, consid. 4.1). Il n’y a pas a priori de conflit entre les intérêts de l’enfant et ceux de la collectivité publique. La collectivité publique doit tenir compte du fait qu’elle est subrogée dans les droits de l’enfant, car le droit cantonal l’oblige à défendre les intérêts de l’enfant. Si le montant à avancer lui paraît trop élevé, la collectivité publique doit corriger sa prestation sur la base du droit cantonal pertinent. Finalement, la collectivité publique n’est pas tenue de soutenir le point de vue de l’enfant lorsque ce dernier s’oppose à une demande de réduction de la contribution d’entretien manifestement justifiée. Lorsque l’enfant ne s’oppose pas à une demande de diminution de l’entretien par le débiteur car il lui est égal que ses besoins de base soient couverts par le versement d’avances ou par l’aide sociale, la collectivité publique doit pouvoir contester une diminution qui, selon elle, n’est pas justifiée. La collectivité publique a un intérêt propre à s’opposer à la réduction des contributions d’entretien qu’elle doit avancer durant la procédure de modification car, si la réduction est accordée, l’avance d’entretien perd après coup sa cause juridique et la subrogation dans le droit à l’entretien tombe (arrêts 5A_399/2016 et 5A_400/2016 (d), 6 mars 2017 consid. 6.3.4 et 6.3.5).</w:t>
      </w:r>
    </w:p>
    <w:p>
      <w:r>
        <w:t>Il n’y a pas de fondement de droit procédural pour inviter la collectivité publique à participer à la procédure (arrêt 5A_634/2013 du 12 mars 2014, c. 4.2).</w:t>
      </w:r>
    </w:p>
    <w:p>
      <w:r>
        <w:t>- 28 - En l’espèce, dans la mesure où les contributions pour l’entretien de Z _________ et Y _________, depuis la date à partir de laquelle la modification est requise et jusqu’à aujourd’hui, ont été avancées intégralement par le Bureau de recouvrement et d’avances de pensions alimentaires du canton du E _________ (BRAPA), cette collectivité publique a été subrogée aux droits des enfants pour les créances échues et futures. Le demandeur aurait donc dû également attraire en procédure le BRAPA, ce qu’il n’a pas fait. Dès lors, en l’absence de fondement de droit procédural pour inviter la collectivité à participer à la présente procédure (arrêt 5A_634/2013 du 12 mars 2014, consid. 4.2.), l’action en modification des contributions d’entretien selon le jugement prononcé le 3 octobre 2013 par le Tribunal du district de B _________, déposée le 11 octobre 2017 par X _________ devrait être rejetée. Cette question peut toutefois être laissée ouverte, la demande de X _________ devant de toute façon être rejetée en l’absence de modification notable et durable dans la situation financière du demandeur et des défendeurs.</w:t>
      </w:r>
    </w:p>
    <w:p>
      <w:r>
        <w:rPr>
          <w:b/>
        </w:rPr>
        <w:t>E. 6.3</w:t>
      </w:r>
    </w:p>
    <w:p>
      <w:r>
        <w:t>Le 3 octobre 2013, au moment prononcé de la décision du juge du tribunal du district de B _________, X _________ réalisait un revenu mensuel net arrêté par le magistrat à xxxx., avec un minimum vital estimé à xxxx fr. en l’absence de pièces justificatives déposées. Faute de contributions payées à ses filles Q_________ et R_________, son solde disponible (xxxx fr. – xxxx fr.) lui permettait de verser des contributions pour l’entretien de Z _________ et Y _________ arrêtées, par enfant, à xxx fr. jusqu’à 6 ans révolus, à xxx fr. de 7 ans à 12 ans révolus, puis à xxx fr. dès 13 ans, jusqu’à la majorité. Aucun revenu hypothétique ne pouvait être imputé à C _________, alors à l’aide sociale.</w:t>
      </w:r>
    </w:p>
    <w:p>
      <w:r>
        <w:t>Au moment du dépôt de la présente demande, X _________ était apparemment à l’aide sociale et travaillait de manière irrégulière à 50 %. Du point de vue personnel, X _________ partageait alors sa vie avec F _________, qui est toujours actuellement sa compagne. En octobre 2017, X _________ était sous contrat de durée déterminée pour l’entreprise LL _________ GmbH, à MM_________, qui l’avait engagé à 50 % le 22 février 2017 comme collaborateur auxiliaire sur demande jusqu’au 30 novembre 2017. Pour cette activité, le demandeur a obtenu à tout le moins xxxx fr. en mars et avril 2017, ainsi que xxxx fr. le 9 novembre 2017, soit xxxx fr. au total. Le 23 juin 2017, il a signé un contrat de travail temporaire avec NN _________ SA pour un chantier de 3 mois au maximum et a obtenu de son employeur xxx fr. pour la période du 26 juin 2017 au 2 juillet 2017. NN _________ SA a encore versé sur son compte bancaire xxxx fr. le</w:t>
      </w:r>
    </w:p>
    <w:p>
      <w:r>
        <w:t>- 29 - 21 juillet 2017 et xxx fr. le 8 août 2017. Les revenus obtenus pour NN _________ SA en 2017 se sont ainsi élevés à xxxx fr. Sur la base des pièces du dossier, le revenu mensuel net moyen obtenu par X _________ en 2017 peut ainsi être arrêté à xxx fr. [xxxx fr. + xxxx fr. / 12]. Cela ne signifie toutefois pas que le demandeur n’aurait pas été en mesure d’obtenir, au moment du dépôt de la demande, un revenu supérieur à celui effectivement touché. A cet égard le tribunal relève que X _________, bien qu’assisté d’un mandataire professionnel, n’a pas établi, comme il lui incombait de le faire, qu’il avait épuisé sa capacité contributive le 1er octobre 2017, date à partir de laquelle il requiert une diminution des contributions d’entretien à verser à ses fils Y _________ et Z _________. En effet, hormis ses déclarations, il ne ressort pas du dossier qu’il n’ait pas eu la possibilité de travailler à plein temps durant cette période. X _________ s’est inscrit au chômage le 19 décembre 2016 comme demandeur d’emploi à 100 %. Bien qu’assisté d’un mandataire professionnel, il n’a toutefois déposé aucune pièce du chômage attestant, comme il l’affirme, que sa demande n’aurait pas été prise en compte et qu’il n’aurait pas eu droit à des indemnités de chômage. De même, il n’a pas établi, comme il lui incombait de le faire, les raisons pour lesquelles il n’aurait pas été en mesure de travailler à un taux d’activité supérieur à 50 %. En particulier, il n’a pas établi par pièces avoir effectué des recherches actives pour trouver un emploi lui permettant de compléter les revenus obtenus grâce aux contrats conclus avec LL _________ GmbH et NN _________ SA. A cet égard, on rappellera qu’en présence d’enfants mineurs, des exigences élevées doivent être posées quant à la mise à profit de la capacité de gain du parent débirentier, en particulier lorsque les moyens financiers sont limités (ATF 137 III 118 consid. 3.1.), comme en l’espèce. En outre, l’aide sociale est subsidiaire par rapport à l’obligation d’entretien. En l’espèce, X _________ travaille depuis plusieurs années dans le secteur de construction et bénéficie d’une solide expérience professionnelle dans ce domaine. En octobre 2013, le juge du district de B _________ a arrêté son revenu mensuel net à xxxx fr., ce que le demandeur n’a pas contesté. Il n’a pas établi, ni même allégué, avoir recherché de manière active un emploi à plein temps à la suite du prononcé du jugement d’octobre 2013. A l’époque, les contributions d’entretien en faveur de ses filles Q_________ et R_________ n’ont pas été prises en compte puisque X _________ admettait ne pas les payer, ce fait ressortant par ailleurs des nombreuses poursuites intentées à son égard pour cette raison. Il n’a pas non plus payé par la suite les contributions d’entretien pour ses fils Z _________ et Y _________. Depuis le 13 janvier 2016, à tout le moins, X _________ s’est apparemment contenté d’une activité à 50 %, notamment pour II _________ ou KK _________ en 2016, puis pour LL _________ et NN _________ SA en 2017, sans que l’on sache pour quels motifs il n’a pas travaillé à plein temps. Bien qu’assisté par un mandataire professionnel, il n’a</w:t>
      </w:r>
    </w:p>
    <w:p>
      <w:r>
        <w:t>- 30 - déposé en cause aucune pièce attestant de recherches d’emploi infructueuses durant cette période ou de motifs justifiant une activité à temps partiel. Il a été xxx fin 2017. A sortie de prison, en 2018, il n’a travaillé que trois mois à plein temps, selon lui en raison de la faillite de KK _________, laquelle a effectivement été prononcée le 14 juin 2018. A nouveau, le demandeur n’a déposé aucune pièce au dossier attestant de recherches effectives après la perte de son emploi, se contentant d’affirmer, lors de sa déposition en décembre 2018, qu’il était sans emploi et n’avait pas droit à l’aide sociale. Ses déclarations, selon lesquelles son état de santé ne lui permettrait pas d’exercer son activité de carreleur, ne sont pas établies par pièces. A cet égard, l’attestation établie le</w:t>
      </w:r>
    </w:p>
    <w:p>
      <w:r>
        <w:rPr>
          <w:b/>
        </w:rPr>
        <w:t>E. 7</w:t>
      </w:r>
    </w:p>
    <w:p>
      <w:r>
        <w:t>Vu le sort de la cause, il se justifie de mettre les frais et dépens de la procédure à la charge du demandeur, qui succombe (art. 106 al. 1 CPC). Dans la mesure où le demandeur est au bénéfice de l’assistance judiciaire totale, les frais judiciaires sont provisoirement supportés par l’Etat du E _________ (art. 122 al. 1 let. b CPC).</w:t>
      </w:r>
    </w:p>
    <w:p>
      <w:r>
        <w:rPr>
          <w:b/>
        </w:rPr>
        <w:t>E. 7.1</w:t>
      </w:r>
    </w:p>
    <w:p>
      <w:r>
        <w:t>Les frais comprennent les débours de l'autorité et l'émolument de justice (art. 3 al. 1 LTar). L'art. 13 LTar impose de fixer l'émolument de justice en fonction de la valeur litigieuse, de l'ampleur et de la difficulté de la cause, de la façon de procéder des parties et de leur situation financière. Selon l'art. 17 al. 1 LTar, l'émolument est compris entre xxx fr. et xxxx fr. pour les contestations non pécuniaires soumises à la procédure ordinaire ou simplifiée. L’émolument prévu à l’alinéa 1 s’applique également à la procédure en modification de contribution d’entretien (art. 17 al. 2 LTar). La présente cause présentait des difficultés ordinaires et l'instruction a donné lieu à trois séances. Compte tenu des débours de l'autorité (témoins : xxx fr. ; huissier : xxx fr.), les frais de justice sont arrêtés à xxxx francs (émolument : xxxx fr. ; débours : xxx fr.).</w:t>
      </w:r>
    </w:p>
    <w:p>
      <w:r>
        <w:rPr>
          <w:b/>
        </w:rPr>
        <w:t>E. 7.2</w:t>
      </w:r>
    </w:p>
    <w:p>
      <w:r>
        <w:t>La condamnation aux frais entraîne condamnation aux dépens. Les deux parties sont au bénéfice de l’assistance judiciaire totale.</w:t>
      </w:r>
    </w:p>
    <w:p>
      <w:r>
        <w:t>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comprennent l'indemnité à la partie pouvant y prétendre et ses frais de conseil juridique. Ils couvrent, en principe, les frais indispensables occasionnés par le litige (art. 4 al. 1 LTar). Les débours d'avocat englobent les dépenses effectives et justifiées (essentiellement les frais de déplacement à 60 ct. le kilomètre, les frais de copie à 50 ct. [ATF 118 Ib 352 consid. 5] et les frais de port et de communication). Quant aux honoraires, ils sont fixés entre le minimum et le maximum prévus par le chapitre 4 LTar, d'après la nature et l'importance de la cause, ses difficultés, l'ampleur du travail, le temps utilement consacré par le conseil juridique, et la situation financière de la partie (art. 27 al. 1 LTar). Pour une procédure de</w:t>
      </w:r>
    </w:p>
    <w:p>
      <w:r>
        <w:t>- 33 - modification de contribution d’entetien, les honoraires sont fixés entre xxxx fr. et xxxx francs (art. 34 al. 2 LTar). La rémunération de l’avocat doit cependant demeurer dans un rapport raisonnable entre la prestation fournie et ne pas contredire de manière choquante le sentiment de la justice (ATF du 27 janvier 2000 in RVJ 2000 p. 255 consid. 3a/aa).</w:t>
      </w:r>
    </w:p>
    <w:p>
      <w:r>
        <w:t>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Aux termes de l’art. 122 al. 1 CPC, lorsque la partie au bénéfice de l’assistance judiciaire succombe, le conseil juridique commis d’office est rémunéré équitablement par le canton. Conformément à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(1re phrase) ; le canton est subrogé à concurrence du montant versé à compter du jour du paiement (2nde phrase). Si les dépens paraissent recouvrables, la décision finale se bornera à allouer lesdits dépens. Une rémunération équitable ne sera fixée, par une décision ultérieure, que si l’ayant droit justifie de démarches de recouvrement infructueuses ; le tribunal dispose d’un large pouvoir d’appréciation au sujet de l’ampleur exigible de telles démarches (TAPPY, op. cit., n. 15 ad art. 122 CPC). Même dans le cas de figure envisagé par l’art. 122 al. 2 CPC, le sort des frais et dépens obéit aux règles ordinaires posées aux art. 106 ss CPC (TAPPY, op. cit. n. 14 ad art. 122 CPC ; cf., pour la procédure devant le Tribunal fédéral, arrêt 5A_388/2009 du 29 juin 2009 consid. 3.2, in Pra 2010 n° 47). Pour fixer la rétribution de l'avocat, aussi bien d'office (ATF 122 I 1 consid. 3a) que de choix (ATF 93 I 116 consid. 6b), l'autorité doit tenir compte, notamment, de la difficulté que la cause présente en fait et en droit, ainsi que du travail qu'elle a nécessité (arrêt 5D_54/2014 du 1er juillet 2014 consid. 2.2 ; cf. ég. art. 27 ss LTar).</w:t>
      </w:r>
    </w:p>
    <w:p>
      <w:r>
        <w:t>- 34 -</w:t>
      </w:r>
    </w:p>
    <w:p>
      <w:r>
        <w:rPr>
          <w:b/>
        </w:rPr>
        <w:t>E. 7.3</w:t>
      </w:r>
    </w:p>
    <w:p>
      <w:r>
        <w:t>En l’espèce, X _________ a été mis au bénéfice de l’assistance judiciaire totale avec effet au 11 octobre 2017, Me M _________ étant nommé avocat d’office dès cette date. Me M _________ est intervenu, depuis cette date, en déposant un mémoire- demande de 6 pages et quelques écritures, en déposant plusieurs pièces, en participant à la séance d’instruction du 13 mars 2018, qui a duré 35 minutes, en préparant les questionnaires à l’intention des témoins et des parties, en participant à l’audition des témoin et d’interrogatoire des parties du 11 décembre 2018, qui a duré 55 minutes, et en participant à la séance de débat final, qui a duré 10 minutes. Il n’a pas déposé de décompte LTar. Ses débours, en l’absence de décompte, sont estimés à 200 fr., TVA comprise et le temps utilement consacré à la procédure à une dizaine d’heures.</w:t>
      </w:r>
    </w:p>
    <w:p>
      <w:r>
        <w:t>Par conséquent, l’Etat du E _________ versera, pour les dépens au titre de l’assistance judiciaire, une indemnité de xxxx fr. [débours : xxx fr.; honoraires réduits au sens de l'art. 29 LTar, 70 % de xxx fr. (10 heures au tarif plein de xxx fr.), TVA incluse (art. 27 al. 5 LTar)], à Me M _________, avocat d’office de X _________. Cette indemnité prend en compte notamment la nature et l'importance de la cause, sa difficulté moyenne, le temps utilement consacré par l'avocat et la situation financière des parties dans le cadre d'une procédure de modification de jugement de divorce, au bénéfice de l'assistance judiciaire (art. 4, 26, 30, 34 LTar).</w:t>
      </w:r>
    </w:p>
    <w:p>
      <w:r>
        <w:t>L’Etat du E _________ pourra exiger de X _________ le remboursement de ses prestations fournies au titre de l’assistance judiciaire (xxxx fr. frais ; xxxx fr. dépens) si la situation économique de ce dernier, ayant permis l'octroi de l'assistance judiciaire, s'est améliorée (art. 123 al. 1 CPC ; art. 10 al 1 let a LAJ).</w:t>
      </w:r>
    </w:p>
    <w:p>
      <w:r>
        <w:rPr>
          <w:b/>
        </w:rPr>
        <w:t>E. 7.4</w:t>
      </w:r>
    </w:p>
    <w:p>
      <w:r>
        <w:t>En l’espèce, Z _________ et Y _________, enfants mineurs représentés par leur mère C _________, ont été mis au bénéfice de l’assistance judiciaire totale avec effet au 7 décembre 2017, Me N _________ étant nommé avocat d’office dès cette date. Me N _________ est intervenu, depuis cette date, en déposant une détermination de 4 pages et quelques écritures, en déposant plusieurs pièces, en participant à la séance d’instruction du 13 mars 2018, qui a duré 35 minutes, en préparant les questionnaires à l’intention des témoins et des parties, en participant à l’audition des témoin et d’interrogatoire des parties du 11 décembre 2018, qui a duré 55 minutes, et en</w:t>
      </w:r>
    </w:p>
    <w:p>
      <w:r>
        <w:t>- 35 - participant à la séance de débat final, qui a duré 10 minutes. Il a déposé un décompte LTar et réclame xxxx fr. d’honoraires (17,74 heures à xxx fr.), xxx fr. de débours + xxx fr. de TVA, soit xxxx fr. au plein tarif, xxx fr. au tarif de l’assistance judiciaire. Les démarches effectuées avant le 7 décembre 2017, date à laquelle il a été désigné avocat d’office des défendeurs, ne sont pas couvertes par l’assistance judiciaire, de sorte qu’environ 8 heures doivent être déduites de son décompte. Doivent également être déduites du décompte les tâches effectuées sans rapport avec la présente procédure, notamment la conférence téléphonique avec le MP du 22 mars 2018 (33 minutes). La séance du 14 mars 2019 est comptabilisée à raison d’une heure alors qu’elle n’a duré que 10 minutes en réalité. En définitive, le tribunal retient que Me N _________ a consacré à la procédure à une dizaine d’heures utiles à la défense de la cause, soit xxxx fr. au plein tarif (10 heures xxx fr.), TVA comprise, les débours de xxx fr. pouvant être admis.</w:t>
      </w:r>
    </w:p>
    <w:p>
      <w:r>
        <w:t>Z _________ et Y _________ obtiennent le plein de leurs conclusions. Les dépens devraient normalement être payés par le demandeur, qui succombe. Toutefois, compte tenu de la situation financière de ce dernier, qui dispose actuellement de ressources limitées, la probabilité que les défendeurs puissent obtenir le règlement des pleins dépens de la part de l’intéressé paraît très aléatoire. Il se justifie dès lors de faire application de l’art. 122 al. 2 CPC et de mettre provisoirement les frais du conseil juridique commis d’office de Z _________ et Y _________ à la charge de l’Etat du E _________, lequel sera subrogé à concurrence du montant versé à compter du jour du paiement, à savoir à concurrence de xxxx fr. (. [(xxxx fr. x 70 %) + xxx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